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EBC11" w14:textId="77777777" w:rsidR="003A059F" w:rsidRDefault="00C70295">
      <w:r w:rsidRPr="00C70295">
        <w:rPr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643414C1" wp14:editId="3D0D2261">
            <wp:simplePos x="0" y="0"/>
            <wp:positionH relativeFrom="margin">
              <wp:posOffset>-76200</wp:posOffset>
            </wp:positionH>
            <wp:positionV relativeFrom="paragraph">
              <wp:posOffset>-200025</wp:posOffset>
            </wp:positionV>
            <wp:extent cx="2000250" cy="1367155"/>
            <wp:effectExtent l="0" t="0" r="0" b="4445"/>
            <wp:wrapNone/>
            <wp:docPr id="2" name="Picture 2" descr="New Gre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Gree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190D3" w14:textId="77777777" w:rsidR="003A059F" w:rsidRPr="003A059F" w:rsidRDefault="003A059F" w:rsidP="003A059F"/>
    <w:p w14:paraId="40FDAE6B" w14:textId="77777777" w:rsidR="003A059F" w:rsidRPr="003A059F" w:rsidRDefault="003A059F" w:rsidP="003A059F"/>
    <w:p w14:paraId="5F190873" w14:textId="77777777" w:rsidR="00C70295" w:rsidRPr="00130C0E" w:rsidRDefault="00824016" w:rsidP="00BB5F44">
      <w:pPr>
        <w:tabs>
          <w:tab w:val="left" w:pos="8100"/>
        </w:tabs>
        <w:jc w:val="right"/>
        <w:rPr>
          <w:rFonts w:ascii="Arial" w:hAnsi="Arial" w:cs="Arial"/>
          <w:b/>
          <w:sz w:val="24"/>
          <w:szCs w:val="24"/>
        </w:rPr>
      </w:pPr>
      <w:r w:rsidRPr="00130C0E">
        <w:rPr>
          <w:rFonts w:ascii="Arial" w:hAnsi="Arial" w:cs="Arial"/>
          <w:b/>
          <w:sz w:val="24"/>
          <w:szCs w:val="24"/>
        </w:rPr>
        <w:t xml:space="preserve">Top Letterbox tips - </w:t>
      </w:r>
      <w:r w:rsidR="003A059F" w:rsidRPr="00130C0E">
        <w:rPr>
          <w:rFonts w:ascii="Arial" w:hAnsi="Arial" w:cs="Arial"/>
          <w:b/>
          <w:sz w:val="24"/>
          <w:szCs w:val="24"/>
        </w:rPr>
        <w:t xml:space="preserve">Parcel </w:t>
      </w:r>
      <w:r w:rsidR="003C4D00" w:rsidRPr="00130C0E">
        <w:rPr>
          <w:rFonts w:ascii="Arial" w:hAnsi="Arial" w:cs="Arial"/>
          <w:b/>
          <w:sz w:val="24"/>
          <w:szCs w:val="24"/>
        </w:rPr>
        <w:t>2</w:t>
      </w:r>
      <w:r w:rsidR="003A059F" w:rsidRPr="00130C0E">
        <w:rPr>
          <w:rFonts w:ascii="Arial" w:hAnsi="Arial" w:cs="Arial"/>
          <w:b/>
          <w:sz w:val="24"/>
          <w:szCs w:val="24"/>
        </w:rPr>
        <w:t xml:space="preserve"> </w:t>
      </w:r>
    </w:p>
    <w:p w14:paraId="5E660BDA" w14:textId="6748414D" w:rsidR="003A059F" w:rsidRPr="00130C0E" w:rsidRDefault="009D1A0C" w:rsidP="00BB5F44">
      <w:pPr>
        <w:tabs>
          <w:tab w:val="left" w:pos="8100"/>
        </w:tabs>
        <w:rPr>
          <w:rFonts w:ascii="Arial" w:hAnsi="Arial" w:cs="Arial"/>
          <w:color w:val="92D050"/>
          <w:sz w:val="24"/>
          <w:szCs w:val="24"/>
        </w:rPr>
      </w:pPr>
      <w:r w:rsidRPr="00130C0E">
        <w:rPr>
          <w:rFonts w:ascii="Arial" w:hAnsi="Arial" w:cs="Arial"/>
          <w:b/>
          <w:color w:val="99CC00"/>
          <w:sz w:val="24"/>
          <w:szCs w:val="24"/>
        </w:rPr>
        <w:br/>
      </w:r>
      <w:r w:rsidR="009A627B" w:rsidRPr="00130C0E">
        <w:rPr>
          <w:rFonts w:ascii="Arial" w:hAnsi="Arial" w:cs="Arial"/>
          <w:color w:val="99CC00"/>
          <w:sz w:val="24"/>
          <w:szCs w:val="24"/>
        </w:rPr>
        <w:br/>
      </w:r>
      <w:r w:rsidR="00BB5F44" w:rsidRPr="00130C0E">
        <w:rPr>
          <w:rFonts w:ascii="Arial" w:hAnsi="Arial" w:cs="Arial"/>
          <w:color w:val="99CC00"/>
          <w:sz w:val="24"/>
          <w:szCs w:val="24"/>
        </w:rPr>
        <w:br/>
      </w:r>
      <w:r w:rsidR="006C445B" w:rsidRPr="00130C0E">
        <w:rPr>
          <w:rFonts w:ascii="Arial" w:hAnsi="Arial" w:cs="Arial"/>
          <w:sz w:val="24"/>
          <w:szCs w:val="24"/>
        </w:rPr>
        <w:t xml:space="preserve">The Letterbox Club provides six, monthly parcels of books, games and stationery to children and young people across the UK. It’s run by a reading charity called </w:t>
      </w:r>
      <w:proofErr w:type="spellStart"/>
      <w:r w:rsidR="006C445B" w:rsidRPr="00130C0E">
        <w:rPr>
          <w:rFonts w:ascii="Arial" w:hAnsi="Arial" w:cs="Arial"/>
          <w:sz w:val="24"/>
          <w:szCs w:val="24"/>
        </w:rPr>
        <w:t>BookTrust</w:t>
      </w:r>
      <w:proofErr w:type="spellEnd"/>
      <w:r w:rsidR="006C445B" w:rsidRPr="00130C0E">
        <w:rPr>
          <w:rFonts w:ascii="Arial" w:hAnsi="Arial" w:cs="Arial"/>
          <w:sz w:val="24"/>
          <w:szCs w:val="24"/>
        </w:rPr>
        <w:t xml:space="preserve">. For more information please visit </w:t>
      </w:r>
      <w:hyperlink r:id="rId9" w:history="1">
        <w:r w:rsidR="006C445B" w:rsidRPr="00130C0E">
          <w:rPr>
            <w:rStyle w:val="Hyperlink"/>
            <w:rFonts w:ascii="Arial" w:hAnsi="Arial" w:cs="Arial"/>
            <w:b/>
            <w:color w:val="92D050"/>
            <w:sz w:val="24"/>
            <w:szCs w:val="24"/>
          </w:rPr>
          <w:t>www.booktrust.org.uk/letterbox-club</w:t>
        </w:r>
      </w:hyperlink>
      <w:r w:rsidR="006C445B" w:rsidRPr="00130C0E">
        <w:rPr>
          <w:rStyle w:val="Hyperlink"/>
          <w:rFonts w:ascii="Arial" w:hAnsi="Arial" w:cs="Arial"/>
          <w:b/>
          <w:color w:val="92D050"/>
          <w:sz w:val="24"/>
          <w:szCs w:val="24"/>
        </w:rPr>
        <w:t>-families</w:t>
      </w:r>
    </w:p>
    <w:p w14:paraId="0BE18F80" w14:textId="77777777" w:rsidR="009D3C06" w:rsidRPr="00130C0E" w:rsidRDefault="00B673B4" w:rsidP="00542EB3">
      <w:pPr>
        <w:ind w:right="-46"/>
        <w:rPr>
          <w:rFonts w:ascii="Arial" w:hAnsi="Arial" w:cs="Arial"/>
          <w:b/>
          <w:color w:val="000000" w:themeColor="text1"/>
          <w:sz w:val="24"/>
          <w:szCs w:val="24"/>
        </w:rPr>
      </w:pPr>
      <w:r w:rsidRPr="00130C0E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78473A" w:rsidRPr="00130C0E">
        <w:rPr>
          <w:rFonts w:ascii="Arial" w:hAnsi="Arial" w:cs="Arial"/>
          <w:b/>
          <w:color w:val="000000" w:themeColor="text1"/>
          <w:sz w:val="24"/>
          <w:szCs w:val="24"/>
        </w:rPr>
        <w:t>Here are some ideas for supporting your child with this month’s parcel:</w:t>
      </w:r>
      <w:r w:rsidR="00AD3D68" w:rsidRPr="00130C0E">
        <w:rPr>
          <w:rFonts w:ascii="Arial" w:hAnsi="Arial" w:cs="Arial"/>
          <w:b/>
          <w:noProof/>
          <w:color w:val="009999"/>
          <w:sz w:val="24"/>
          <w:szCs w:val="24"/>
          <w:lang w:eastAsia="en-GB"/>
        </w:rPr>
        <w:br/>
      </w:r>
    </w:p>
    <w:p w14:paraId="402C2636" w14:textId="2705E6F2" w:rsidR="003C4D00" w:rsidRPr="00130C0E" w:rsidRDefault="003B0C42" w:rsidP="0022383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130C0E">
        <w:rPr>
          <w:rFonts w:ascii="Arial" w:hAnsi="Arial" w:cs="Arial"/>
          <w:sz w:val="24"/>
          <w:szCs w:val="24"/>
        </w:rPr>
        <w:t>If your child prefers to read independently, you could bo</w:t>
      </w:r>
      <w:r w:rsidR="006B59DF" w:rsidRPr="00130C0E">
        <w:rPr>
          <w:rFonts w:ascii="Arial" w:hAnsi="Arial" w:cs="Arial"/>
          <w:sz w:val="24"/>
          <w:szCs w:val="24"/>
        </w:rPr>
        <w:t xml:space="preserve">th </w:t>
      </w:r>
      <w:r w:rsidRPr="00130C0E">
        <w:rPr>
          <w:rFonts w:ascii="Arial" w:hAnsi="Arial" w:cs="Arial"/>
          <w:sz w:val="24"/>
          <w:szCs w:val="24"/>
        </w:rPr>
        <w:t>read at the same time</w:t>
      </w:r>
      <w:r w:rsidR="003B2C7E" w:rsidRPr="00130C0E">
        <w:rPr>
          <w:rFonts w:ascii="Arial" w:hAnsi="Arial" w:cs="Arial"/>
          <w:sz w:val="24"/>
          <w:szCs w:val="24"/>
        </w:rPr>
        <w:t>.</w:t>
      </w:r>
      <w:r w:rsidRPr="00130C0E">
        <w:rPr>
          <w:rFonts w:ascii="Arial" w:hAnsi="Arial" w:cs="Arial"/>
          <w:sz w:val="24"/>
          <w:szCs w:val="24"/>
        </w:rPr>
        <w:t xml:space="preserve"> It can be time to relax together</w:t>
      </w:r>
      <w:r w:rsidR="006B59DF" w:rsidRPr="00130C0E">
        <w:rPr>
          <w:rFonts w:ascii="Arial" w:hAnsi="Arial" w:cs="Arial"/>
          <w:sz w:val="24"/>
          <w:szCs w:val="24"/>
        </w:rPr>
        <w:t xml:space="preserve"> and it’s great for them to see you reading too! </w:t>
      </w:r>
    </w:p>
    <w:p w14:paraId="2879901B" w14:textId="77777777" w:rsidR="00A11FEA" w:rsidRPr="00130C0E" w:rsidRDefault="00A11FEA" w:rsidP="00A11FEA">
      <w:pPr>
        <w:pStyle w:val="ListParagraph"/>
        <w:spacing w:line="276" w:lineRule="auto"/>
        <w:ind w:left="502"/>
        <w:rPr>
          <w:rFonts w:ascii="Arial" w:hAnsi="Arial" w:cs="Arial"/>
          <w:b/>
          <w:i/>
          <w:sz w:val="24"/>
          <w:szCs w:val="24"/>
        </w:rPr>
      </w:pPr>
    </w:p>
    <w:p w14:paraId="04CC2722" w14:textId="4E409425" w:rsidR="00A11FEA" w:rsidRPr="00130C0E" w:rsidRDefault="00A11FEA" w:rsidP="0022383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130C0E">
        <w:rPr>
          <w:rFonts w:ascii="Arial" w:hAnsi="Arial" w:cs="Arial"/>
          <w:sz w:val="24"/>
          <w:szCs w:val="24"/>
        </w:rPr>
        <w:t>Encourage your child to write down any unfamiliar words they come across</w:t>
      </w:r>
      <w:r w:rsidR="00B057B6" w:rsidRPr="00130C0E">
        <w:rPr>
          <w:rFonts w:ascii="Arial" w:hAnsi="Arial" w:cs="Arial"/>
          <w:sz w:val="24"/>
          <w:szCs w:val="24"/>
        </w:rPr>
        <w:t xml:space="preserve"> when reading </w:t>
      </w:r>
      <w:bookmarkStart w:id="0" w:name="_Hlk1979307"/>
      <w:r w:rsidR="00B057B6" w:rsidRPr="00130C0E">
        <w:rPr>
          <w:rFonts w:ascii="Arial" w:hAnsi="Arial" w:cs="Arial"/>
          <w:b/>
          <w:i/>
          <w:noProof/>
          <w:color w:val="7EC234"/>
          <w:sz w:val="24"/>
          <w:szCs w:val="24"/>
          <w:lang w:eastAsia="en-GB"/>
        </w:rPr>
        <w:t>How to Capture an Invisible Cat</w:t>
      </w:r>
      <w:r w:rsidR="00B057B6" w:rsidRPr="00130C0E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bookmarkEnd w:id="0"/>
      <w:r w:rsidR="00B057B6" w:rsidRPr="00130C0E">
        <w:rPr>
          <w:rFonts w:ascii="Arial" w:hAnsi="Arial" w:cs="Arial"/>
          <w:noProof/>
          <w:sz w:val="24"/>
          <w:szCs w:val="24"/>
          <w:lang w:eastAsia="en-GB"/>
        </w:rPr>
        <w:t>– they could use the notebook and gel pen in the parcel. Together, help your child look the words up in a dictionary.</w:t>
      </w:r>
    </w:p>
    <w:p w14:paraId="36073D77" w14:textId="77777777" w:rsidR="00B057B6" w:rsidRPr="00130C0E" w:rsidRDefault="00B057B6" w:rsidP="00B057B6">
      <w:pPr>
        <w:pStyle w:val="ListParagraph"/>
        <w:rPr>
          <w:rFonts w:ascii="Arial" w:hAnsi="Arial" w:cs="Arial"/>
          <w:b/>
          <w:i/>
          <w:sz w:val="24"/>
          <w:szCs w:val="24"/>
        </w:rPr>
      </w:pPr>
    </w:p>
    <w:p w14:paraId="1E802B3B" w14:textId="39E3ACEB" w:rsidR="00B057B6" w:rsidRPr="00130C0E" w:rsidRDefault="00763A93" w:rsidP="0022383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bookmarkStart w:id="1" w:name="_GoBack"/>
      <w:bookmarkEnd w:id="1"/>
      <w:r w:rsidR="00B057B6" w:rsidRPr="00130C0E">
        <w:rPr>
          <w:rFonts w:ascii="Arial" w:hAnsi="Arial" w:cs="Arial"/>
          <w:sz w:val="24"/>
          <w:szCs w:val="24"/>
        </w:rPr>
        <w:t xml:space="preserve">he </w:t>
      </w:r>
      <w:r w:rsidR="00B057B6" w:rsidRPr="00130C0E">
        <w:rPr>
          <w:rFonts w:ascii="Arial" w:hAnsi="Arial" w:cs="Arial"/>
          <w:b/>
          <w:i/>
          <w:noProof/>
          <w:color w:val="7EC234"/>
          <w:sz w:val="24"/>
          <w:szCs w:val="24"/>
          <w:lang w:eastAsia="en-GB"/>
        </w:rPr>
        <w:t xml:space="preserve">Playing Cards </w:t>
      </w:r>
      <w:r w:rsidR="00B057B6" w:rsidRPr="00130C0E">
        <w:rPr>
          <w:rFonts w:ascii="Arial" w:hAnsi="Arial" w:cs="Arial"/>
          <w:noProof/>
          <w:sz w:val="24"/>
          <w:szCs w:val="24"/>
          <w:lang w:eastAsia="en-GB"/>
        </w:rPr>
        <w:t>games can be played with 2 or more people</w:t>
      </w:r>
      <w:r w:rsidR="00665A7D" w:rsidRPr="00130C0E">
        <w:rPr>
          <w:rFonts w:ascii="Arial" w:hAnsi="Arial" w:cs="Arial"/>
          <w:noProof/>
          <w:sz w:val="24"/>
          <w:szCs w:val="24"/>
          <w:lang w:eastAsia="en-GB"/>
        </w:rPr>
        <w:t xml:space="preserve">, so why not play them with your child? Move on to the expert games when your child is more confident. </w:t>
      </w:r>
    </w:p>
    <w:p w14:paraId="4655CA06" w14:textId="2C316CC8" w:rsidR="003A059F" w:rsidRPr="00130C0E" w:rsidRDefault="00AD394A" w:rsidP="00AD3D68">
      <w:pPr>
        <w:ind w:right="-46"/>
        <w:rPr>
          <w:rFonts w:ascii="Arial" w:hAnsi="Arial" w:cs="Arial"/>
          <w:b/>
          <w:color w:val="009999"/>
          <w:sz w:val="24"/>
          <w:szCs w:val="24"/>
        </w:rPr>
      </w:pPr>
      <w:r w:rsidRPr="00130C0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2710AA" wp14:editId="5A8D9562">
                <wp:simplePos x="0" y="0"/>
                <wp:positionH relativeFrom="margin">
                  <wp:align>left</wp:align>
                </wp:positionH>
                <wp:positionV relativeFrom="paragraph">
                  <wp:posOffset>877824</wp:posOffset>
                </wp:positionV>
                <wp:extent cx="5857875" cy="90487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904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rgbClr val="7EC23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A79BE" w14:textId="77777777" w:rsidR="00AD394A" w:rsidRPr="00130C0E" w:rsidRDefault="00AD394A" w:rsidP="00AD394A">
                            <w:pPr>
                              <w:ind w:right="-46"/>
                              <w:rPr>
                                <w:rFonts w:ascii="Arial" w:hAnsi="Arial" w:cs="Arial"/>
                                <w:b/>
                                <w:color w:val="009999"/>
                                <w:sz w:val="24"/>
                                <w:szCs w:val="26"/>
                              </w:rPr>
                            </w:pPr>
                            <w:r w:rsidRPr="00130C0E">
                              <w:rPr>
                                <w:rFonts w:ascii="Arial" w:hAnsi="Arial" w:cs="Arial"/>
                                <w:b/>
                                <w:color w:val="7EC234"/>
                                <w:sz w:val="24"/>
                                <w:szCs w:val="26"/>
                              </w:rPr>
                              <w:t>Did you know?</w:t>
                            </w:r>
                            <w:r w:rsidRPr="00130C0E">
                              <w:rPr>
                                <w:rFonts w:ascii="Arial" w:hAnsi="Arial" w:cs="Arial"/>
                                <w:color w:val="7EC234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130C0E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Young people who read for pleasure make significantly more progress in vocabulary, spelling and maths than young people who read very little (Sullivan and Brown, 2013).</w:t>
                            </w:r>
                          </w:p>
                          <w:p w14:paraId="0D6D61A4" w14:textId="77777777" w:rsidR="00AD394A" w:rsidRDefault="00AD394A" w:rsidP="00AD3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710AA" id="Rectangle: Rounded Corners 3" o:spid="_x0000_s1026" style="position:absolute;margin-left:0;margin-top:69.1pt;width:461.25pt;height:71.2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" fillcolor="#f2f2f2 [3052]" strokecolor="#7ec234" strokeweight=".25pt">
                <v:stroke joinstyle="miter"/>
                <v:textbox>
                  <w:txbxContent>
                    <w:p w14:paraId="5A8A79BE" w14:textId="77777777" w:rsidR="00AD394A" w:rsidRPr="00130C0E" w:rsidRDefault="00AD394A" w:rsidP="00AD394A">
                      <w:pPr>
                        <w:ind w:right="-46"/>
                        <w:rPr>
                          <w:rFonts w:ascii="Arial" w:hAnsi="Arial" w:cs="Arial"/>
                          <w:b/>
                          <w:color w:val="009999"/>
                          <w:sz w:val="24"/>
                          <w:szCs w:val="26"/>
                        </w:rPr>
                      </w:pPr>
                      <w:r w:rsidRPr="00130C0E">
                        <w:rPr>
                          <w:rFonts w:ascii="Arial" w:hAnsi="Arial" w:cs="Arial"/>
                          <w:b/>
                          <w:color w:val="7EC234"/>
                          <w:sz w:val="24"/>
                          <w:szCs w:val="26"/>
                        </w:rPr>
                        <w:t>Did you know?</w:t>
                      </w:r>
                      <w:r w:rsidRPr="00130C0E">
                        <w:rPr>
                          <w:rFonts w:ascii="Arial" w:hAnsi="Arial" w:cs="Arial"/>
                          <w:color w:val="7EC234"/>
                          <w:sz w:val="24"/>
                          <w:szCs w:val="26"/>
                        </w:rPr>
                        <w:t xml:space="preserve"> </w:t>
                      </w:r>
                      <w:r w:rsidRPr="00130C0E">
                        <w:rPr>
                          <w:rFonts w:ascii="Arial" w:hAnsi="Arial" w:cs="Arial"/>
                          <w:sz w:val="24"/>
                          <w:szCs w:val="26"/>
                        </w:rPr>
                        <w:t>Young people who read for pleasure make significantly more progress in vocabulary, spelling and maths than young people who read very little (Sullivan and Brown, 2013).</w:t>
                      </w:r>
                    </w:p>
                    <w:p w14:paraId="0D6D61A4" w14:textId="77777777" w:rsidR="00AD394A" w:rsidRDefault="00AD394A" w:rsidP="00AD394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2EB3" w:rsidRPr="00130C0E">
        <w:rPr>
          <w:rFonts w:ascii="Arial" w:hAnsi="Arial" w:cs="Arial"/>
          <w:sz w:val="24"/>
          <w:szCs w:val="24"/>
        </w:rPr>
        <w:br/>
        <w:t>From,</w:t>
      </w:r>
      <w:r w:rsidR="00542EB3" w:rsidRPr="00130C0E">
        <w:rPr>
          <w:rFonts w:ascii="Arial" w:hAnsi="Arial" w:cs="Arial"/>
          <w:sz w:val="24"/>
          <w:szCs w:val="24"/>
        </w:rPr>
        <w:br/>
      </w:r>
      <w:r w:rsidR="007E6D23" w:rsidRPr="00130C0E">
        <w:rPr>
          <w:rFonts w:ascii="Arial" w:hAnsi="Arial" w:cs="Arial"/>
          <w:sz w:val="24"/>
          <w:szCs w:val="24"/>
        </w:rPr>
        <w:t xml:space="preserve">The Letterbox Club Team </w:t>
      </w:r>
      <w:r w:rsidR="0078473A" w:rsidRPr="00130C0E">
        <w:rPr>
          <w:rFonts w:ascii="Arial" w:hAnsi="Arial" w:cs="Arial"/>
          <w:sz w:val="24"/>
          <w:szCs w:val="24"/>
        </w:rPr>
        <w:br/>
      </w:r>
      <w:r w:rsidR="009D1A0C" w:rsidRPr="00130C0E">
        <w:rPr>
          <w:rFonts w:ascii="Arial" w:hAnsi="Arial" w:cs="Arial"/>
          <w:sz w:val="24"/>
          <w:szCs w:val="24"/>
        </w:rPr>
        <w:br/>
      </w:r>
      <w:r w:rsidR="007E6D23" w:rsidRPr="00130C0E">
        <w:rPr>
          <w:rFonts w:ascii="Arial" w:hAnsi="Arial" w:cs="Arial"/>
          <w:sz w:val="24"/>
          <w:szCs w:val="24"/>
        </w:rPr>
        <w:br/>
      </w:r>
    </w:p>
    <w:sectPr w:rsidR="003A059F" w:rsidRPr="00130C0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E8F65" w14:textId="77777777" w:rsidR="00B057B6" w:rsidRDefault="00B057B6" w:rsidP="001D7262">
      <w:pPr>
        <w:spacing w:after="0" w:line="240" w:lineRule="auto"/>
      </w:pPr>
      <w:r>
        <w:separator/>
      </w:r>
    </w:p>
  </w:endnote>
  <w:endnote w:type="continuationSeparator" w:id="0">
    <w:p w14:paraId="060A7F5B" w14:textId="77777777" w:rsidR="00B057B6" w:rsidRDefault="00B057B6" w:rsidP="001D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773CD" w14:textId="77777777" w:rsidR="00B057B6" w:rsidRDefault="00B057B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AEF48F" wp14:editId="62EF07E9">
          <wp:simplePos x="0" y="0"/>
          <wp:positionH relativeFrom="column">
            <wp:posOffset>3833545</wp:posOffset>
          </wp:positionH>
          <wp:positionV relativeFrom="paragraph">
            <wp:posOffset>-469011</wp:posOffset>
          </wp:positionV>
          <wp:extent cx="2800350" cy="10740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7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CBD27" w14:textId="77777777" w:rsidR="00B057B6" w:rsidRDefault="00B057B6" w:rsidP="001D7262">
      <w:pPr>
        <w:spacing w:after="0" w:line="240" w:lineRule="auto"/>
      </w:pPr>
      <w:r>
        <w:separator/>
      </w:r>
    </w:p>
  </w:footnote>
  <w:footnote w:type="continuationSeparator" w:id="0">
    <w:p w14:paraId="0E7F2F79" w14:textId="77777777" w:rsidR="00B057B6" w:rsidRDefault="00B057B6" w:rsidP="001D7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11EE0"/>
    <w:multiLevelType w:val="hybridMultilevel"/>
    <w:tmpl w:val="465EED76"/>
    <w:lvl w:ilvl="0" w:tplc="60B6BB8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92D050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9F"/>
    <w:rsid w:val="00034D27"/>
    <w:rsid w:val="00060566"/>
    <w:rsid w:val="000A05AD"/>
    <w:rsid w:val="000B1901"/>
    <w:rsid w:val="000D12D5"/>
    <w:rsid w:val="00130C0E"/>
    <w:rsid w:val="001D7262"/>
    <w:rsid w:val="0022383B"/>
    <w:rsid w:val="00252121"/>
    <w:rsid w:val="00271C9A"/>
    <w:rsid w:val="002A4A9A"/>
    <w:rsid w:val="002B441D"/>
    <w:rsid w:val="0036749A"/>
    <w:rsid w:val="003A059F"/>
    <w:rsid w:val="003B0C42"/>
    <w:rsid w:val="003B263A"/>
    <w:rsid w:val="003B2C7E"/>
    <w:rsid w:val="003C4D00"/>
    <w:rsid w:val="003D0019"/>
    <w:rsid w:val="00421442"/>
    <w:rsid w:val="004C2A77"/>
    <w:rsid w:val="004C7EB5"/>
    <w:rsid w:val="00542EB3"/>
    <w:rsid w:val="005E7C2C"/>
    <w:rsid w:val="00616AB3"/>
    <w:rsid w:val="00665A7D"/>
    <w:rsid w:val="006B59DF"/>
    <w:rsid w:val="006C445B"/>
    <w:rsid w:val="00763A93"/>
    <w:rsid w:val="0078473A"/>
    <w:rsid w:val="007E6D23"/>
    <w:rsid w:val="008031EC"/>
    <w:rsid w:val="00814A30"/>
    <w:rsid w:val="00824016"/>
    <w:rsid w:val="0094588F"/>
    <w:rsid w:val="009A627B"/>
    <w:rsid w:val="009D1A0C"/>
    <w:rsid w:val="009D3C06"/>
    <w:rsid w:val="009D571D"/>
    <w:rsid w:val="00A11FEA"/>
    <w:rsid w:val="00A5388E"/>
    <w:rsid w:val="00AD394A"/>
    <w:rsid w:val="00AD3D68"/>
    <w:rsid w:val="00AE2466"/>
    <w:rsid w:val="00B057B6"/>
    <w:rsid w:val="00B36783"/>
    <w:rsid w:val="00B57884"/>
    <w:rsid w:val="00B673B4"/>
    <w:rsid w:val="00B7044F"/>
    <w:rsid w:val="00BB1E9E"/>
    <w:rsid w:val="00BB5F44"/>
    <w:rsid w:val="00BD0417"/>
    <w:rsid w:val="00BE614B"/>
    <w:rsid w:val="00C328B5"/>
    <w:rsid w:val="00C543F1"/>
    <w:rsid w:val="00C70295"/>
    <w:rsid w:val="00CD244B"/>
    <w:rsid w:val="00D7680B"/>
    <w:rsid w:val="00DE2931"/>
    <w:rsid w:val="00E072F3"/>
    <w:rsid w:val="00F3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EAC92CE"/>
  <w15:docId w15:val="{6E867128-4435-4B3C-AC20-A2721484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D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01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D7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262"/>
  </w:style>
  <w:style w:type="paragraph" w:styleId="Footer">
    <w:name w:val="footer"/>
    <w:basedOn w:val="Normal"/>
    <w:link w:val="FooterChar"/>
    <w:uiPriority w:val="99"/>
    <w:unhideWhenUsed/>
    <w:rsid w:val="001D7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ooktrust.org.uk/letterbox-clu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Darby</dc:creator>
  <cp:keywords/>
  <dc:description/>
  <cp:lastModifiedBy>Jenna Darby</cp:lastModifiedBy>
  <cp:revision>30</cp:revision>
  <dcterms:created xsi:type="dcterms:W3CDTF">2017-12-12T16:32:00Z</dcterms:created>
  <dcterms:modified xsi:type="dcterms:W3CDTF">2019-02-25T12:42:00Z</dcterms:modified>
</cp:coreProperties>
</file>